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E6" w:rsidRPr="000E0FF0" w:rsidRDefault="00C51CE6" w:rsidP="00C51CE6">
      <w:pPr>
        <w:jc w:val="center"/>
        <w:rPr>
          <w:b/>
        </w:rPr>
      </w:pPr>
      <w:r w:rsidRPr="000E0FF0">
        <w:rPr>
          <w:b/>
        </w:rPr>
        <w:t>STANDBY / ON-CALL EMERGENCY COVERAGE POLICY</w:t>
      </w:r>
    </w:p>
    <w:p w:rsidR="00C51CE6" w:rsidRDefault="00C51CE6" w:rsidP="00C51CE6"/>
    <w:p w:rsidR="00C51CE6" w:rsidRDefault="00C51CE6" w:rsidP="00C51CE6">
      <w:r>
        <w:t xml:space="preserve">     All field employees, including supervisors, must participate in the District’s standby duties.  Standby duties cover the times when District offices are closed and generally include weekdays (Monday through Friday) for the hours from 4:30 pm to 8:00 a.m. and weekend/holidays hours covering a 24-hour period, ending at 8:00 a.m. on the next business day.  The standby rotation week begins at 4:30 p.m. on Friday and ends at 8:00 a.m. on the following Friday. Exceptions may occur for holiday on call rotation.</w:t>
      </w:r>
    </w:p>
    <w:p w:rsidR="00C51CE6" w:rsidRDefault="00C51CE6" w:rsidP="00C51CE6"/>
    <w:p w:rsidR="00C51CE6" w:rsidRDefault="00C51CE6" w:rsidP="00C51CE6">
      <w:r>
        <w:t xml:space="preserve">     Employees performing standby duties shall be compensated, in addition to their normal work hours, based on their hourly rate of pay: </w:t>
      </w:r>
    </w:p>
    <w:p w:rsidR="00C51CE6" w:rsidRDefault="00C51CE6" w:rsidP="00C51CE6">
      <w:pPr>
        <w:numPr>
          <w:ilvl w:val="0"/>
          <w:numId w:val="1"/>
        </w:numPr>
      </w:pPr>
      <w:r>
        <w:t xml:space="preserve">For weekday standby, the employee will receive one (1) hour of pay for each day while on standby at their regular hourly rate.  </w:t>
      </w:r>
    </w:p>
    <w:p w:rsidR="00C51CE6" w:rsidRPr="00145BF4" w:rsidRDefault="00C51CE6" w:rsidP="00C51CE6">
      <w:pPr>
        <w:numPr>
          <w:ilvl w:val="0"/>
          <w:numId w:val="1"/>
        </w:numPr>
      </w:pPr>
      <w:r w:rsidRPr="00145BF4">
        <w:t xml:space="preserve">For weekend standby, the employee will receive two (2) hours of pay for each day while on standby at their overtime hourly rate and (2) hours of pay for Saturday and (2) hours of pay for Sunday for </w:t>
      </w:r>
      <w:r>
        <w:t>doing the water and sewer plant</w:t>
      </w:r>
      <w:r w:rsidRPr="00145BF4">
        <w:t xml:space="preserve"> rounds at their overtime hourly rate.  </w:t>
      </w:r>
    </w:p>
    <w:p w:rsidR="00C51CE6" w:rsidRPr="00145BF4" w:rsidRDefault="00C51CE6" w:rsidP="00C51CE6">
      <w:pPr>
        <w:numPr>
          <w:ilvl w:val="0"/>
          <w:numId w:val="1"/>
        </w:numPr>
      </w:pPr>
      <w:r w:rsidRPr="00145BF4">
        <w:t xml:space="preserve">For holiday standby, the employee </w:t>
      </w:r>
      <w:r>
        <w:t xml:space="preserve">will receive regular holiday wages and </w:t>
      </w:r>
      <w:r w:rsidRPr="00145BF4">
        <w:t xml:space="preserve">will receive four </w:t>
      </w:r>
      <w:r>
        <w:t>(4) hours</w:t>
      </w:r>
      <w:r w:rsidRPr="00145BF4">
        <w:t xml:space="preserve"> at their hourly rate</w:t>
      </w:r>
      <w:r>
        <w:t xml:space="preserve"> </w:t>
      </w:r>
      <w:r w:rsidRPr="00145BF4">
        <w:t>for each holiday</w:t>
      </w:r>
      <w:r w:rsidRPr="00AD7508">
        <w:t xml:space="preserve"> </w:t>
      </w:r>
      <w:r w:rsidRPr="00145BF4">
        <w:t xml:space="preserve">at their hourly rate while on standby </w:t>
      </w:r>
      <w:r>
        <w:t>plus their</w:t>
      </w:r>
      <w:r w:rsidRPr="00145BF4">
        <w:t xml:space="preserve"> two (2) </w:t>
      </w:r>
      <w:r>
        <w:t xml:space="preserve">overtime </w:t>
      </w:r>
      <w:r w:rsidRPr="00145BF4">
        <w:t>hours for water and sewer rounds.</w:t>
      </w:r>
    </w:p>
    <w:p w:rsidR="00C51CE6" w:rsidRDefault="00C51CE6" w:rsidP="00C51CE6">
      <w:pPr>
        <w:numPr>
          <w:ilvl w:val="0"/>
          <w:numId w:val="1"/>
        </w:numPr>
      </w:pPr>
      <w:r w:rsidRPr="00145BF4">
        <w:t>If an employee is required to physically respond to a call, the employee shall enter</w:t>
      </w:r>
      <w:r>
        <w:t xml:space="preserve"> the actual response time on their timecard and the employee will be compensated for these hours at their overtime/holiday hourly rate.</w:t>
      </w:r>
    </w:p>
    <w:p w:rsidR="00C51CE6" w:rsidRDefault="00C51CE6" w:rsidP="00C51CE6"/>
    <w:p w:rsidR="00C51CE6" w:rsidRDefault="00C51CE6" w:rsidP="00C51CE6">
      <w:r>
        <w:t xml:space="preserve">The procedure for responding to a call:     </w:t>
      </w:r>
    </w:p>
    <w:p w:rsidR="00C51CE6" w:rsidRDefault="00C51CE6" w:rsidP="00C51CE6"/>
    <w:p w:rsidR="00C51CE6" w:rsidRDefault="00C51CE6" w:rsidP="00C51CE6">
      <w:pPr>
        <w:numPr>
          <w:ilvl w:val="0"/>
          <w:numId w:val="2"/>
        </w:numPr>
      </w:pPr>
      <w:r>
        <w:t>A cell phone will be issued to the on call person to use for business calls only.</w:t>
      </w:r>
    </w:p>
    <w:p w:rsidR="00C51CE6" w:rsidRDefault="00C51CE6" w:rsidP="00C51CE6">
      <w:pPr>
        <w:numPr>
          <w:ilvl w:val="0"/>
          <w:numId w:val="2"/>
        </w:numPr>
      </w:pPr>
      <w:r>
        <w:t>When the District’s answering service calls the on call person, they will receive a text message with the problem and name and number of the requesting customer. If the on call person does not respond to the text or a phone call additional employees may be contacted.</w:t>
      </w:r>
    </w:p>
    <w:p w:rsidR="00C51CE6" w:rsidRDefault="00C51CE6" w:rsidP="00C51CE6">
      <w:pPr>
        <w:numPr>
          <w:ilvl w:val="0"/>
          <w:numId w:val="2"/>
        </w:numPr>
      </w:pPr>
      <w:r>
        <w:t>A call to the customer may be needed to determine the reason for the call. Each day and on Monday (for the weekend calls), the answering service will send an email of text messages to the District.</w:t>
      </w:r>
    </w:p>
    <w:p w:rsidR="00C51CE6" w:rsidRDefault="00C51CE6" w:rsidP="00C51CE6">
      <w:pPr>
        <w:numPr>
          <w:ilvl w:val="0"/>
          <w:numId w:val="2"/>
        </w:numPr>
      </w:pPr>
      <w:r>
        <w:t>All calls will be kept in a log on a form provided by the District and maintained in the truck. At the end of the on call duty week, the completed form must be turned in to the Foster Lake shop where it will be maintained in the Standby Service log book to be reviewed by the water and sewer supervisors. A work order will also be completed if necessary or if additional action is required. This log will include:</w:t>
      </w:r>
    </w:p>
    <w:p w:rsidR="00C51CE6" w:rsidRDefault="00C51CE6" w:rsidP="00C51CE6">
      <w:pPr>
        <w:numPr>
          <w:ilvl w:val="0"/>
          <w:numId w:val="2"/>
        </w:numPr>
      </w:pPr>
      <w:r>
        <w:t>Notification time</w:t>
      </w:r>
    </w:p>
    <w:p w:rsidR="00C51CE6" w:rsidRDefault="00C51CE6" w:rsidP="00C51CE6">
      <w:pPr>
        <w:numPr>
          <w:ilvl w:val="0"/>
          <w:numId w:val="2"/>
        </w:numPr>
      </w:pPr>
      <w:r>
        <w:t>Caller and telephone number</w:t>
      </w:r>
    </w:p>
    <w:p w:rsidR="00C51CE6" w:rsidRDefault="00C51CE6" w:rsidP="00C51CE6">
      <w:pPr>
        <w:numPr>
          <w:ilvl w:val="0"/>
          <w:numId w:val="2"/>
        </w:numPr>
      </w:pPr>
      <w:r>
        <w:t>Nature of the call</w:t>
      </w:r>
    </w:p>
    <w:p w:rsidR="00C51CE6" w:rsidRDefault="00C51CE6" w:rsidP="00C51CE6">
      <w:pPr>
        <w:numPr>
          <w:ilvl w:val="0"/>
          <w:numId w:val="2"/>
        </w:numPr>
      </w:pPr>
      <w:r>
        <w:t>Action taken</w:t>
      </w:r>
    </w:p>
    <w:p w:rsidR="00C51CE6" w:rsidRDefault="00C51CE6" w:rsidP="00C51CE6">
      <w:pPr>
        <w:numPr>
          <w:ilvl w:val="0"/>
          <w:numId w:val="2"/>
        </w:numPr>
      </w:pPr>
      <w:r>
        <w:t>Time spent on the response</w:t>
      </w:r>
    </w:p>
    <w:p w:rsidR="00C51CE6" w:rsidRDefault="00C51CE6" w:rsidP="00C51CE6">
      <w:pPr>
        <w:ind w:left="720"/>
      </w:pPr>
    </w:p>
    <w:p w:rsidR="00C51CE6" w:rsidRPr="00553EEE" w:rsidRDefault="00C51CE6" w:rsidP="00C51CE6">
      <w:pPr>
        <w:spacing w:after="120"/>
        <w:jc w:val="both"/>
      </w:pPr>
      <w:r w:rsidRPr="00553EEE">
        <w:lastRenderedPageBreak/>
        <w:t xml:space="preserve">Employees performing standby duties must respond to off-hours requests for assistance within a reasonable time frame after receiving notice from the answering service.  Reasonable time is defined as ½ hour (30 minutes).  </w:t>
      </w:r>
    </w:p>
    <w:p w:rsidR="00C51CE6" w:rsidRPr="00553EEE" w:rsidRDefault="00C51CE6" w:rsidP="00C51CE6">
      <w:pPr>
        <w:spacing w:after="120"/>
        <w:jc w:val="both"/>
      </w:pPr>
      <w:r w:rsidRPr="00553EEE">
        <w:t>It is the Idyllwild Water District</w:t>
      </w:r>
      <w:r>
        <w:t>’</w:t>
      </w:r>
      <w:r w:rsidRPr="00553EEE">
        <w:t>s policy to respond during non-business hours to emergencies, which are defined as those affecting public health and safety i.e. loss of water from mainline piping, water system operations affecting delivery of water to customers, wastewater system operations affecting sewage treatment.</w:t>
      </w:r>
    </w:p>
    <w:p w:rsidR="00C51CE6" w:rsidRDefault="00C51CE6" w:rsidP="00C51CE6">
      <w:pPr>
        <w:spacing w:after="120"/>
        <w:jc w:val="both"/>
      </w:pPr>
      <w:r w:rsidRPr="00553EEE">
        <w:t>Non-emergency requests such has shutting of</w:t>
      </w:r>
      <w:r>
        <w:t>f</w:t>
      </w:r>
      <w:r w:rsidRPr="00553EEE">
        <w:t xml:space="preserve"> the customer valve for the convenience of the customer may be subject to a charge.  This type of response should be so noted in the log.</w:t>
      </w:r>
    </w:p>
    <w:p w:rsidR="00C51CE6" w:rsidRDefault="00C51CE6" w:rsidP="00C51CE6">
      <w:pPr>
        <w:spacing w:after="120"/>
        <w:jc w:val="both"/>
      </w:pPr>
    </w:p>
    <w:p w:rsidR="00C51CE6" w:rsidRPr="008546CE" w:rsidRDefault="00C51CE6" w:rsidP="00C51CE6">
      <w:pPr>
        <w:jc w:val="center"/>
        <w:outlineLvl w:val="0"/>
        <w:rPr>
          <w:rFonts w:ascii="Arial" w:hAnsi="Arial" w:cs="Arial"/>
          <w:b/>
          <w:sz w:val="22"/>
          <w:szCs w:val="22"/>
        </w:rPr>
      </w:pPr>
      <w:r w:rsidRPr="008546CE">
        <w:rPr>
          <w:rFonts w:ascii="Arial" w:hAnsi="Arial" w:cs="Arial"/>
          <w:b/>
          <w:sz w:val="22"/>
          <w:szCs w:val="22"/>
        </w:rPr>
        <w:t>SAMPLE LOG</w:t>
      </w:r>
    </w:p>
    <w:p w:rsidR="00C51CE6" w:rsidRPr="008546CE" w:rsidRDefault="00C51CE6" w:rsidP="00C51CE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07"/>
        <w:gridCol w:w="2187"/>
        <w:gridCol w:w="1812"/>
        <w:gridCol w:w="1942"/>
      </w:tblGrid>
      <w:tr w:rsidR="00C51CE6" w:rsidRPr="000237D1" w:rsidTr="00EB6901">
        <w:tc>
          <w:tcPr>
            <w:tcW w:w="2088" w:type="dxa"/>
            <w:shd w:val="clear" w:color="auto" w:fill="auto"/>
          </w:tcPr>
          <w:p w:rsidR="00C51CE6" w:rsidRPr="000237D1" w:rsidRDefault="00C51CE6" w:rsidP="00EB6901">
            <w:pPr>
              <w:spacing w:after="120"/>
              <w:rPr>
                <w:rFonts w:ascii="Arial" w:hAnsi="Arial" w:cs="Arial"/>
                <w:sz w:val="22"/>
                <w:szCs w:val="22"/>
              </w:rPr>
            </w:pPr>
            <w:r w:rsidRPr="000237D1">
              <w:rPr>
                <w:rFonts w:ascii="Arial" w:hAnsi="Arial" w:cs="Arial"/>
                <w:sz w:val="22"/>
                <w:szCs w:val="22"/>
              </w:rPr>
              <w:t>Notification time</w:t>
            </w:r>
          </w:p>
          <w:p w:rsidR="00C51CE6" w:rsidRPr="000237D1" w:rsidRDefault="00C51CE6" w:rsidP="00EB6901">
            <w:pPr>
              <w:spacing w:after="120"/>
              <w:rPr>
                <w:rFonts w:ascii="Arial" w:hAnsi="Arial" w:cs="Arial"/>
                <w:sz w:val="22"/>
                <w:szCs w:val="22"/>
              </w:rPr>
            </w:pPr>
          </w:p>
        </w:tc>
        <w:tc>
          <w:tcPr>
            <w:tcW w:w="2520" w:type="dxa"/>
            <w:shd w:val="clear" w:color="auto" w:fill="auto"/>
          </w:tcPr>
          <w:p w:rsidR="00C51CE6" w:rsidRPr="000237D1" w:rsidRDefault="00C51CE6" w:rsidP="00EB6901">
            <w:pPr>
              <w:spacing w:after="120"/>
              <w:rPr>
                <w:rFonts w:ascii="Arial" w:hAnsi="Arial" w:cs="Arial"/>
                <w:sz w:val="22"/>
                <w:szCs w:val="22"/>
              </w:rPr>
            </w:pPr>
            <w:r w:rsidRPr="000237D1">
              <w:rPr>
                <w:rFonts w:ascii="Arial" w:hAnsi="Arial" w:cs="Arial"/>
                <w:sz w:val="22"/>
                <w:szCs w:val="22"/>
              </w:rPr>
              <w:t>Caller and telephone number</w:t>
            </w:r>
          </w:p>
        </w:tc>
        <w:tc>
          <w:tcPr>
            <w:tcW w:w="3297" w:type="dxa"/>
            <w:shd w:val="clear" w:color="auto" w:fill="auto"/>
          </w:tcPr>
          <w:p w:rsidR="00C51CE6" w:rsidRPr="000237D1" w:rsidRDefault="00C51CE6" w:rsidP="00EB6901">
            <w:pPr>
              <w:spacing w:after="120"/>
              <w:rPr>
                <w:rFonts w:ascii="Arial" w:hAnsi="Arial" w:cs="Arial"/>
                <w:sz w:val="22"/>
                <w:szCs w:val="22"/>
              </w:rPr>
            </w:pPr>
            <w:r w:rsidRPr="000237D1">
              <w:rPr>
                <w:rFonts w:ascii="Arial" w:hAnsi="Arial" w:cs="Arial"/>
                <w:sz w:val="22"/>
                <w:szCs w:val="22"/>
              </w:rPr>
              <w:t>Nature of the call</w:t>
            </w:r>
          </w:p>
          <w:p w:rsidR="00C51CE6" w:rsidRPr="000237D1" w:rsidRDefault="00C51CE6" w:rsidP="00EB6901">
            <w:pPr>
              <w:spacing w:after="120"/>
              <w:rPr>
                <w:rFonts w:ascii="Arial" w:hAnsi="Arial" w:cs="Arial"/>
                <w:sz w:val="22"/>
                <w:szCs w:val="22"/>
              </w:rPr>
            </w:pPr>
          </w:p>
        </w:tc>
        <w:tc>
          <w:tcPr>
            <w:tcW w:w="2635" w:type="dxa"/>
            <w:shd w:val="clear" w:color="auto" w:fill="auto"/>
          </w:tcPr>
          <w:p w:rsidR="00C51CE6" w:rsidRPr="000237D1" w:rsidRDefault="00C51CE6" w:rsidP="00EB6901">
            <w:pPr>
              <w:spacing w:after="120"/>
              <w:rPr>
                <w:rFonts w:ascii="Arial" w:hAnsi="Arial" w:cs="Arial"/>
                <w:sz w:val="22"/>
                <w:szCs w:val="22"/>
              </w:rPr>
            </w:pPr>
            <w:r w:rsidRPr="000237D1">
              <w:rPr>
                <w:rFonts w:ascii="Arial" w:hAnsi="Arial" w:cs="Arial"/>
                <w:sz w:val="22"/>
                <w:szCs w:val="22"/>
              </w:rPr>
              <w:t>Action taken*</w:t>
            </w:r>
          </w:p>
          <w:p w:rsidR="00C51CE6" w:rsidRPr="000237D1" w:rsidRDefault="00C51CE6" w:rsidP="00EB6901">
            <w:pPr>
              <w:spacing w:after="120"/>
              <w:rPr>
                <w:rFonts w:ascii="Arial" w:hAnsi="Arial" w:cs="Arial"/>
                <w:sz w:val="22"/>
                <w:szCs w:val="22"/>
              </w:rPr>
            </w:pPr>
          </w:p>
        </w:tc>
        <w:tc>
          <w:tcPr>
            <w:tcW w:w="2636" w:type="dxa"/>
            <w:shd w:val="clear" w:color="auto" w:fill="auto"/>
          </w:tcPr>
          <w:p w:rsidR="00C51CE6" w:rsidRPr="000237D1" w:rsidRDefault="00C51CE6" w:rsidP="00EB6901">
            <w:pPr>
              <w:spacing w:after="120"/>
              <w:rPr>
                <w:rFonts w:ascii="Arial" w:hAnsi="Arial" w:cs="Arial"/>
                <w:sz w:val="22"/>
                <w:szCs w:val="22"/>
              </w:rPr>
            </w:pPr>
            <w:r w:rsidRPr="000237D1">
              <w:rPr>
                <w:rFonts w:ascii="Arial" w:hAnsi="Arial" w:cs="Arial"/>
                <w:sz w:val="22"/>
                <w:szCs w:val="22"/>
              </w:rPr>
              <w:t>Time spent on the response</w:t>
            </w:r>
          </w:p>
        </w:tc>
      </w:tr>
      <w:tr w:rsidR="00C51CE6" w:rsidRPr="000237D1" w:rsidTr="00EB6901">
        <w:tc>
          <w:tcPr>
            <w:tcW w:w="2088" w:type="dxa"/>
            <w:shd w:val="clear" w:color="auto" w:fill="auto"/>
          </w:tcPr>
          <w:p w:rsidR="00C51CE6" w:rsidRPr="000237D1" w:rsidRDefault="00C51CE6" w:rsidP="00EB6901">
            <w:pPr>
              <w:spacing w:after="120"/>
              <w:rPr>
                <w:rFonts w:ascii="Arial" w:hAnsi="Arial" w:cs="Arial"/>
                <w:sz w:val="22"/>
                <w:szCs w:val="22"/>
              </w:rPr>
            </w:pPr>
          </w:p>
        </w:tc>
        <w:tc>
          <w:tcPr>
            <w:tcW w:w="2520" w:type="dxa"/>
            <w:shd w:val="clear" w:color="auto" w:fill="auto"/>
          </w:tcPr>
          <w:p w:rsidR="00C51CE6" w:rsidRPr="000237D1" w:rsidRDefault="00C51CE6" w:rsidP="00EB6901">
            <w:pPr>
              <w:spacing w:after="120"/>
              <w:rPr>
                <w:rFonts w:ascii="Arial" w:hAnsi="Arial" w:cs="Arial"/>
                <w:sz w:val="22"/>
                <w:szCs w:val="22"/>
              </w:rPr>
            </w:pPr>
          </w:p>
        </w:tc>
        <w:tc>
          <w:tcPr>
            <w:tcW w:w="3297" w:type="dxa"/>
            <w:shd w:val="clear" w:color="auto" w:fill="auto"/>
          </w:tcPr>
          <w:p w:rsidR="00C51CE6" w:rsidRPr="000237D1" w:rsidRDefault="00C51CE6" w:rsidP="00EB6901">
            <w:pPr>
              <w:spacing w:after="120"/>
              <w:rPr>
                <w:rFonts w:ascii="Arial" w:hAnsi="Arial" w:cs="Arial"/>
                <w:sz w:val="22"/>
                <w:szCs w:val="22"/>
              </w:rPr>
            </w:pPr>
          </w:p>
        </w:tc>
        <w:tc>
          <w:tcPr>
            <w:tcW w:w="2635" w:type="dxa"/>
            <w:shd w:val="clear" w:color="auto" w:fill="auto"/>
          </w:tcPr>
          <w:p w:rsidR="00C51CE6" w:rsidRPr="000237D1" w:rsidRDefault="00C51CE6" w:rsidP="00EB6901">
            <w:pPr>
              <w:spacing w:after="120"/>
              <w:rPr>
                <w:rFonts w:ascii="Arial" w:hAnsi="Arial" w:cs="Arial"/>
                <w:sz w:val="22"/>
                <w:szCs w:val="22"/>
              </w:rPr>
            </w:pPr>
          </w:p>
        </w:tc>
        <w:tc>
          <w:tcPr>
            <w:tcW w:w="2636" w:type="dxa"/>
            <w:shd w:val="clear" w:color="auto" w:fill="auto"/>
          </w:tcPr>
          <w:p w:rsidR="00C51CE6" w:rsidRPr="000237D1" w:rsidRDefault="00C51CE6" w:rsidP="00EB6901">
            <w:pPr>
              <w:spacing w:after="120"/>
              <w:rPr>
                <w:rFonts w:ascii="Arial" w:hAnsi="Arial" w:cs="Arial"/>
                <w:sz w:val="22"/>
                <w:szCs w:val="22"/>
              </w:rPr>
            </w:pPr>
          </w:p>
        </w:tc>
      </w:tr>
      <w:tr w:rsidR="00C51CE6" w:rsidRPr="000237D1" w:rsidTr="00EB6901">
        <w:tc>
          <w:tcPr>
            <w:tcW w:w="2088" w:type="dxa"/>
            <w:shd w:val="clear" w:color="auto" w:fill="auto"/>
          </w:tcPr>
          <w:p w:rsidR="00C51CE6" w:rsidRPr="000237D1" w:rsidRDefault="00C51CE6" w:rsidP="00EB6901">
            <w:pPr>
              <w:spacing w:after="120"/>
              <w:rPr>
                <w:rFonts w:ascii="Arial" w:hAnsi="Arial" w:cs="Arial"/>
                <w:sz w:val="22"/>
                <w:szCs w:val="22"/>
              </w:rPr>
            </w:pPr>
          </w:p>
        </w:tc>
        <w:tc>
          <w:tcPr>
            <w:tcW w:w="2520" w:type="dxa"/>
            <w:shd w:val="clear" w:color="auto" w:fill="auto"/>
          </w:tcPr>
          <w:p w:rsidR="00C51CE6" w:rsidRPr="000237D1" w:rsidRDefault="00C51CE6" w:rsidP="00EB6901">
            <w:pPr>
              <w:spacing w:after="120"/>
              <w:rPr>
                <w:rFonts w:ascii="Arial" w:hAnsi="Arial" w:cs="Arial"/>
                <w:sz w:val="22"/>
                <w:szCs w:val="22"/>
              </w:rPr>
            </w:pPr>
          </w:p>
        </w:tc>
        <w:tc>
          <w:tcPr>
            <w:tcW w:w="3297" w:type="dxa"/>
            <w:shd w:val="clear" w:color="auto" w:fill="auto"/>
          </w:tcPr>
          <w:p w:rsidR="00C51CE6" w:rsidRPr="000237D1" w:rsidRDefault="00C51CE6" w:rsidP="00EB6901">
            <w:pPr>
              <w:spacing w:after="120"/>
              <w:rPr>
                <w:rFonts w:ascii="Arial" w:hAnsi="Arial" w:cs="Arial"/>
                <w:sz w:val="22"/>
                <w:szCs w:val="22"/>
              </w:rPr>
            </w:pPr>
          </w:p>
        </w:tc>
        <w:tc>
          <w:tcPr>
            <w:tcW w:w="2635" w:type="dxa"/>
            <w:shd w:val="clear" w:color="auto" w:fill="auto"/>
          </w:tcPr>
          <w:p w:rsidR="00C51CE6" w:rsidRPr="000237D1" w:rsidRDefault="00C51CE6" w:rsidP="00EB6901">
            <w:pPr>
              <w:spacing w:after="120"/>
              <w:rPr>
                <w:rFonts w:ascii="Arial" w:hAnsi="Arial" w:cs="Arial"/>
                <w:sz w:val="22"/>
                <w:szCs w:val="22"/>
              </w:rPr>
            </w:pPr>
          </w:p>
        </w:tc>
        <w:tc>
          <w:tcPr>
            <w:tcW w:w="2636" w:type="dxa"/>
            <w:shd w:val="clear" w:color="auto" w:fill="auto"/>
          </w:tcPr>
          <w:p w:rsidR="00C51CE6" w:rsidRPr="000237D1" w:rsidRDefault="00C51CE6" w:rsidP="00EB6901">
            <w:pPr>
              <w:spacing w:after="120"/>
              <w:rPr>
                <w:rFonts w:ascii="Arial" w:hAnsi="Arial" w:cs="Arial"/>
                <w:sz w:val="22"/>
                <w:szCs w:val="22"/>
              </w:rPr>
            </w:pPr>
          </w:p>
        </w:tc>
      </w:tr>
      <w:tr w:rsidR="00C51CE6" w:rsidRPr="000237D1" w:rsidTr="00EB6901">
        <w:tc>
          <w:tcPr>
            <w:tcW w:w="2088" w:type="dxa"/>
            <w:shd w:val="clear" w:color="auto" w:fill="auto"/>
          </w:tcPr>
          <w:p w:rsidR="00C51CE6" w:rsidRPr="000237D1" w:rsidRDefault="00C51CE6" w:rsidP="00EB6901">
            <w:pPr>
              <w:spacing w:after="120"/>
              <w:rPr>
                <w:rFonts w:ascii="Arial" w:hAnsi="Arial" w:cs="Arial"/>
                <w:sz w:val="22"/>
                <w:szCs w:val="22"/>
              </w:rPr>
            </w:pPr>
          </w:p>
        </w:tc>
        <w:tc>
          <w:tcPr>
            <w:tcW w:w="2520" w:type="dxa"/>
            <w:shd w:val="clear" w:color="auto" w:fill="auto"/>
          </w:tcPr>
          <w:p w:rsidR="00C51CE6" w:rsidRPr="000237D1" w:rsidRDefault="00C51CE6" w:rsidP="00EB6901">
            <w:pPr>
              <w:spacing w:after="120"/>
              <w:rPr>
                <w:rFonts w:ascii="Arial" w:hAnsi="Arial" w:cs="Arial"/>
                <w:sz w:val="22"/>
                <w:szCs w:val="22"/>
              </w:rPr>
            </w:pPr>
          </w:p>
        </w:tc>
        <w:tc>
          <w:tcPr>
            <w:tcW w:w="3297" w:type="dxa"/>
            <w:shd w:val="clear" w:color="auto" w:fill="auto"/>
          </w:tcPr>
          <w:p w:rsidR="00C51CE6" w:rsidRPr="000237D1" w:rsidRDefault="00C51CE6" w:rsidP="00EB6901">
            <w:pPr>
              <w:spacing w:after="120"/>
              <w:rPr>
                <w:rFonts w:ascii="Arial" w:hAnsi="Arial" w:cs="Arial"/>
                <w:sz w:val="22"/>
                <w:szCs w:val="22"/>
              </w:rPr>
            </w:pPr>
          </w:p>
        </w:tc>
        <w:tc>
          <w:tcPr>
            <w:tcW w:w="2635" w:type="dxa"/>
            <w:shd w:val="clear" w:color="auto" w:fill="auto"/>
          </w:tcPr>
          <w:p w:rsidR="00C51CE6" w:rsidRPr="000237D1" w:rsidRDefault="00C51CE6" w:rsidP="00EB6901">
            <w:pPr>
              <w:spacing w:after="120"/>
              <w:rPr>
                <w:rFonts w:ascii="Arial" w:hAnsi="Arial" w:cs="Arial"/>
                <w:sz w:val="22"/>
                <w:szCs w:val="22"/>
              </w:rPr>
            </w:pPr>
          </w:p>
        </w:tc>
        <w:tc>
          <w:tcPr>
            <w:tcW w:w="2636" w:type="dxa"/>
            <w:shd w:val="clear" w:color="auto" w:fill="auto"/>
          </w:tcPr>
          <w:p w:rsidR="00C51CE6" w:rsidRPr="000237D1" w:rsidRDefault="00C51CE6" w:rsidP="00EB6901">
            <w:pPr>
              <w:spacing w:after="120"/>
              <w:rPr>
                <w:rFonts w:ascii="Arial" w:hAnsi="Arial" w:cs="Arial"/>
                <w:sz w:val="22"/>
                <w:szCs w:val="22"/>
              </w:rPr>
            </w:pPr>
          </w:p>
        </w:tc>
      </w:tr>
      <w:tr w:rsidR="00C51CE6" w:rsidRPr="000237D1" w:rsidTr="00EB6901">
        <w:tc>
          <w:tcPr>
            <w:tcW w:w="2088" w:type="dxa"/>
            <w:shd w:val="clear" w:color="auto" w:fill="auto"/>
          </w:tcPr>
          <w:p w:rsidR="00C51CE6" w:rsidRPr="000237D1" w:rsidRDefault="00C51CE6" w:rsidP="00EB6901">
            <w:pPr>
              <w:spacing w:after="120"/>
              <w:rPr>
                <w:rFonts w:ascii="Arial" w:hAnsi="Arial" w:cs="Arial"/>
                <w:sz w:val="22"/>
                <w:szCs w:val="22"/>
              </w:rPr>
            </w:pPr>
          </w:p>
        </w:tc>
        <w:tc>
          <w:tcPr>
            <w:tcW w:w="2520" w:type="dxa"/>
            <w:shd w:val="clear" w:color="auto" w:fill="auto"/>
          </w:tcPr>
          <w:p w:rsidR="00C51CE6" w:rsidRPr="000237D1" w:rsidRDefault="00C51CE6" w:rsidP="00EB6901">
            <w:pPr>
              <w:spacing w:after="120"/>
              <w:rPr>
                <w:rFonts w:ascii="Arial" w:hAnsi="Arial" w:cs="Arial"/>
                <w:sz w:val="22"/>
                <w:szCs w:val="22"/>
              </w:rPr>
            </w:pPr>
          </w:p>
        </w:tc>
        <w:tc>
          <w:tcPr>
            <w:tcW w:w="3297" w:type="dxa"/>
            <w:shd w:val="clear" w:color="auto" w:fill="auto"/>
          </w:tcPr>
          <w:p w:rsidR="00C51CE6" w:rsidRPr="000237D1" w:rsidRDefault="00C51CE6" w:rsidP="00EB6901">
            <w:pPr>
              <w:spacing w:after="120"/>
              <w:rPr>
                <w:rFonts w:ascii="Arial" w:hAnsi="Arial" w:cs="Arial"/>
                <w:sz w:val="22"/>
                <w:szCs w:val="22"/>
              </w:rPr>
            </w:pPr>
          </w:p>
        </w:tc>
        <w:tc>
          <w:tcPr>
            <w:tcW w:w="2635" w:type="dxa"/>
            <w:shd w:val="clear" w:color="auto" w:fill="auto"/>
          </w:tcPr>
          <w:p w:rsidR="00C51CE6" w:rsidRPr="000237D1" w:rsidRDefault="00C51CE6" w:rsidP="00EB6901">
            <w:pPr>
              <w:spacing w:after="120"/>
              <w:rPr>
                <w:rFonts w:ascii="Arial" w:hAnsi="Arial" w:cs="Arial"/>
                <w:sz w:val="22"/>
                <w:szCs w:val="22"/>
              </w:rPr>
            </w:pPr>
          </w:p>
        </w:tc>
        <w:tc>
          <w:tcPr>
            <w:tcW w:w="2636" w:type="dxa"/>
            <w:shd w:val="clear" w:color="auto" w:fill="auto"/>
          </w:tcPr>
          <w:p w:rsidR="00C51CE6" w:rsidRPr="000237D1" w:rsidRDefault="00C51CE6" w:rsidP="00EB6901">
            <w:pPr>
              <w:spacing w:after="120"/>
              <w:rPr>
                <w:rFonts w:ascii="Arial" w:hAnsi="Arial" w:cs="Arial"/>
                <w:sz w:val="22"/>
                <w:szCs w:val="22"/>
              </w:rPr>
            </w:pPr>
          </w:p>
        </w:tc>
      </w:tr>
      <w:tr w:rsidR="00C51CE6" w:rsidRPr="000237D1" w:rsidTr="00EB6901">
        <w:tc>
          <w:tcPr>
            <w:tcW w:w="2088" w:type="dxa"/>
            <w:shd w:val="clear" w:color="auto" w:fill="auto"/>
          </w:tcPr>
          <w:p w:rsidR="00C51CE6" w:rsidRPr="000237D1" w:rsidRDefault="00C51CE6" w:rsidP="00EB6901">
            <w:pPr>
              <w:spacing w:after="120"/>
              <w:rPr>
                <w:rFonts w:ascii="Arial" w:hAnsi="Arial" w:cs="Arial"/>
                <w:sz w:val="22"/>
                <w:szCs w:val="22"/>
              </w:rPr>
            </w:pPr>
          </w:p>
        </w:tc>
        <w:tc>
          <w:tcPr>
            <w:tcW w:w="2520" w:type="dxa"/>
            <w:shd w:val="clear" w:color="auto" w:fill="auto"/>
          </w:tcPr>
          <w:p w:rsidR="00C51CE6" w:rsidRPr="000237D1" w:rsidRDefault="00C51CE6" w:rsidP="00EB6901">
            <w:pPr>
              <w:spacing w:after="120"/>
              <w:rPr>
                <w:rFonts w:ascii="Arial" w:hAnsi="Arial" w:cs="Arial"/>
                <w:sz w:val="22"/>
                <w:szCs w:val="22"/>
              </w:rPr>
            </w:pPr>
          </w:p>
        </w:tc>
        <w:tc>
          <w:tcPr>
            <w:tcW w:w="3297" w:type="dxa"/>
            <w:shd w:val="clear" w:color="auto" w:fill="auto"/>
          </w:tcPr>
          <w:p w:rsidR="00C51CE6" w:rsidRPr="000237D1" w:rsidRDefault="00C51CE6" w:rsidP="00EB6901">
            <w:pPr>
              <w:spacing w:after="120"/>
              <w:rPr>
                <w:rFonts w:ascii="Arial" w:hAnsi="Arial" w:cs="Arial"/>
                <w:sz w:val="22"/>
                <w:szCs w:val="22"/>
              </w:rPr>
            </w:pPr>
          </w:p>
        </w:tc>
        <w:tc>
          <w:tcPr>
            <w:tcW w:w="2635" w:type="dxa"/>
            <w:shd w:val="clear" w:color="auto" w:fill="auto"/>
          </w:tcPr>
          <w:p w:rsidR="00C51CE6" w:rsidRPr="000237D1" w:rsidRDefault="00C51CE6" w:rsidP="00EB6901">
            <w:pPr>
              <w:spacing w:after="120"/>
              <w:rPr>
                <w:rFonts w:ascii="Arial" w:hAnsi="Arial" w:cs="Arial"/>
                <w:sz w:val="22"/>
                <w:szCs w:val="22"/>
              </w:rPr>
            </w:pPr>
          </w:p>
        </w:tc>
        <w:tc>
          <w:tcPr>
            <w:tcW w:w="2636" w:type="dxa"/>
            <w:shd w:val="clear" w:color="auto" w:fill="auto"/>
          </w:tcPr>
          <w:p w:rsidR="00C51CE6" w:rsidRPr="000237D1" w:rsidRDefault="00C51CE6" w:rsidP="00EB6901">
            <w:pPr>
              <w:spacing w:after="120"/>
              <w:rPr>
                <w:rFonts w:ascii="Arial" w:hAnsi="Arial" w:cs="Arial"/>
                <w:sz w:val="22"/>
                <w:szCs w:val="22"/>
              </w:rPr>
            </w:pPr>
          </w:p>
        </w:tc>
      </w:tr>
      <w:tr w:rsidR="00C51CE6" w:rsidRPr="000237D1" w:rsidTr="00EB6901">
        <w:tc>
          <w:tcPr>
            <w:tcW w:w="2088" w:type="dxa"/>
            <w:shd w:val="clear" w:color="auto" w:fill="auto"/>
          </w:tcPr>
          <w:p w:rsidR="00C51CE6" w:rsidRPr="000237D1" w:rsidRDefault="00C51CE6" w:rsidP="00EB6901">
            <w:pPr>
              <w:spacing w:after="120"/>
              <w:rPr>
                <w:rFonts w:ascii="Arial" w:hAnsi="Arial" w:cs="Arial"/>
                <w:sz w:val="22"/>
                <w:szCs w:val="22"/>
              </w:rPr>
            </w:pPr>
          </w:p>
        </w:tc>
        <w:tc>
          <w:tcPr>
            <w:tcW w:w="2520" w:type="dxa"/>
            <w:shd w:val="clear" w:color="auto" w:fill="auto"/>
          </w:tcPr>
          <w:p w:rsidR="00C51CE6" w:rsidRPr="000237D1" w:rsidRDefault="00C51CE6" w:rsidP="00EB6901">
            <w:pPr>
              <w:spacing w:after="120"/>
              <w:rPr>
                <w:rFonts w:ascii="Arial" w:hAnsi="Arial" w:cs="Arial"/>
                <w:sz w:val="22"/>
                <w:szCs w:val="22"/>
              </w:rPr>
            </w:pPr>
          </w:p>
        </w:tc>
        <w:tc>
          <w:tcPr>
            <w:tcW w:w="3297" w:type="dxa"/>
            <w:shd w:val="clear" w:color="auto" w:fill="auto"/>
          </w:tcPr>
          <w:p w:rsidR="00C51CE6" w:rsidRPr="000237D1" w:rsidRDefault="00C51CE6" w:rsidP="00EB6901">
            <w:pPr>
              <w:spacing w:after="120"/>
              <w:rPr>
                <w:rFonts w:ascii="Arial" w:hAnsi="Arial" w:cs="Arial"/>
                <w:sz w:val="22"/>
                <w:szCs w:val="22"/>
              </w:rPr>
            </w:pPr>
          </w:p>
        </w:tc>
        <w:tc>
          <w:tcPr>
            <w:tcW w:w="2635" w:type="dxa"/>
            <w:shd w:val="clear" w:color="auto" w:fill="auto"/>
          </w:tcPr>
          <w:p w:rsidR="00C51CE6" w:rsidRPr="000237D1" w:rsidRDefault="00C51CE6" w:rsidP="00EB6901">
            <w:pPr>
              <w:spacing w:after="120"/>
              <w:rPr>
                <w:rFonts w:ascii="Arial" w:hAnsi="Arial" w:cs="Arial"/>
                <w:sz w:val="22"/>
                <w:szCs w:val="22"/>
              </w:rPr>
            </w:pPr>
          </w:p>
        </w:tc>
        <w:tc>
          <w:tcPr>
            <w:tcW w:w="2636" w:type="dxa"/>
            <w:shd w:val="clear" w:color="auto" w:fill="auto"/>
          </w:tcPr>
          <w:p w:rsidR="00C51CE6" w:rsidRPr="000237D1" w:rsidRDefault="00C51CE6" w:rsidP="00EB6901">
            <w:pPr>
              <w:spacing w:after="120"/>
              <w:rPr>
                <w:rFonts w:ascii="Arial" w:hAnsi="Arial" w:cs="Arial"/>
                <w:sz w:val="22"/>
                <w:szCs w:val="22"/>
              </w:rPr>
            </w:pPr>
          </w:p>
        </w:tc>
      </w:tr>
    </w:tbl>
    <w:p w:rsidR="00F64287" w:rsidRDefault="00F64287">
      <w:bookmarkStart w:id="0" w:name="_GoBack"/>
      <w:bookmarkEnd w:id="0"/>
    </w:p>
    <w:sectPr w:rsidR="00F64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D3E"/>
    <w:multiLevelType w:val="hybridMultilevel"/>
    <w:tmpl w:val="9A52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745E3"/>
    <w:multiLevelType w:val="hybridMultilevel"/>
    <w:tmpl w:val="57A4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E6"/>
    <w:rsid w:val="00C51CE6"/>
    <w:rsid w:val="00F6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1</cp:revision>
  <dcterms:created xsi:type="dcterms:W3CDTF">2013-10-08T22:00:00Z</dcterms:created>
  <dcterms:modified xsi:type="dcterms:W3CDTF">2013-10-08T22:01:00Z</dcterms:modified>
</cp:coreProperties>
</file>